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I/2 vom 14. Februar 2025</w:t>
      </w:r>
    </w:p>
    <w:p>
      <w:r>
        <w:t>Bundesverwaltungsgericht, 2025-02-14, FR</w:t>
      </w:r>
    </w:p>
    <w:p>
      <w:r>
        <w:rPr>
          <w:b/>
        </w:rPr>
        <w:t xml:space="preserve">Quelle: </w:t>
      </w:r>
      <w:r>
        <w:t>https://mcp.opencaselaw.ch/entscheid/bvger_BVGE 2025 I_2</w:t>
      </w:r>
    </w:p>
    <w:p>
      <w:r>
        <w:t>FR: TAF BVGE 2025 I/2 du 14 février 2025</w:t>
      </w:r>
    </w:p>
    <w:p>
      <w:r>
        <w:t>IT: TAF BVGE 2025 I/2 del 14 febbraio 2025</w:t>
      </w:r>
    </w:p>
    <w:p>
      <w:pPr>
        <w:pStyle w:val="Heading2"/>
      </w:pPr>
      <w:r>
        <w:t>Regeste</w:t>
      </w:r>
    </w:p>
    <w:p>
      <w:r>
        <w:t>Douanes</w:t>
      </w:r>
    </w:p>
    <w:p>
      <w:pPr>
        <w:pStyle w:val="Heading2"/>
      </w:pPr>
      <w:r>
        <w:t>Erwägungen</w:t>
      </w:r>
    </w:p>
    <w:p>
      <w:r>
        <w:rPr>
          <w:b/>
        </w:rPr>
        <w:t>E. 1</w:t>
      </w:r>
    </w:p>
    <w:p>
      <w:r>
        <w:t>Die Beschlagnahme des Zollpfandes stellt eine vorsorgliche Massnahme dar, die einem separaten Verfahren unterliegt und unabhängig vom Veranlagungsverfahren geführt wird. Der Entscheid über die Beschlagnahme des Zollpfandes ist endgültig (E. 2).</w:t>
      </w:r>
    </w:p>
    <w:p>
      <w:r>
        <w:rPr>
          <w:b/>
        </w:rPr>
        <w:t>E. 2</w:t>
      </w:r>
    </w:p>
    <w:p>
      <w:r>
        <w:t>Der Entscheid des Bundesamts für Zoll und Grenzsicherheit (BAZG) über die Rückgabe der beschlagnahmten Sache gegen Sicherheitsleistung kann vor dem BVGer angefochten werden (E. 3.1).</w:t>
      </w:r>
    </w:p>
    <w:p>
      <w:r>
        <w:rPr>
          <w:b/>
        </w:rPr>
        <w:t>E. 3</w:t>
      </w:r>
    </w:p>
    <w:p>
      <w:r>
        <w:t>Beschränkt sich die Beschwerde auf das Veranlagungsverfahren, ist das BVGer nicht befugt, über ein Gesuch um Rückgabe der beschlagnahmten Sache zu entscheiden, solange keine entsprechende Verfügung des BAZG vorliegt (E. 3.2-3.4). Das Rückgabegesuch ist daher an das BAZG weiterzuleiten, damit dieses einen vor dem BVGer anfechtbaren Entscheid erlassen kann (E. 5).</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